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yne" w:cs="Syne" w:eastAsia="Syne" w:hAnsi="Sy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hanging="360"/>
        <w:rPr>
          <w:rFonts w:ascii="Syne" w:cs="Syne" w:eastAsia="Syne" w:hAnsi="Syne"/>
        </w:rPr>
        <w:sectPr>
          <w:headerReference r:id="rId6" w:type="default"/>
          <w:pgSz w:h="15840" w:w="12240" w:orient="portrait"/>
          <w:pgMar w:bottom="1440" w:top="135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Syne" w:cs="Syne" w:eastAsia="Syne" w:hAnsi="Syne"/>
          <w:b w:val="1"/>
          <w:color w:val="7e7c48"/>
        </w:rPr>
      </w:pPr>
      <w:r w:rsidDel="00000000" w:rsidR="00000000" w:rsidRPr="00000000">
        <w:rPr>
          <w:rFonts w:ascii="Syne" w:cs="Syne" w:eastAsia="Syne" w:hAnsi="Syne"/>
          <w:b w:val="1"/>
          <w:color w:val="7e7c48"/>
          <w:rtl w:val="0"/>
        </w:rPr>
        <w:t xml:space="preserve">Find a Restaurant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Research available restaurants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(optional) Find a restaurant broker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Syne" w:cs="Syne" w:eastAsia="Syne" w:hAnsi="Syne"/>
          <w:b w:val="1"/>
          <w:color w:val="a3a6a8"/>
        </w:rPr>
      </w:pPr>
      <w:r w:rsidDel="00000000" w:rsidR="00000000" w:rsidRPr="00000000">
        <w:rPr>
          <w:rFonts w:ascii="Syne" w:cs="Syne" w:eastAsia="Syne" w:hAnsi="Syne"/>
          <w:b w:val="1"/>
          <w:color w:val="a3a6a8"/>
          <w:rtl w:val="0"/>
        </w:rPr>
        <w:t xml:space="preserve">Secret shop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Restaurant 1: ____________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Restaurant 2 :____________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Restaurant 3: 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Syne" w:cs="Syne" w:eastAsia="Syne" w:hAnsi="Syne"/>
          <w:b w:val="1"/>
          <w:color w:val="7e7c48"/>
        </w:rPr>
      </w:pPr>
      <w:r w:rsidDel="00000000" w:rsidR="00000000" w:rsidRPr="00000000">
        <w:rPr>
          <w:rFonts w:ascii="Syne" w:cs="Syne" w:eastAsia="Syne" w:hAnsi="Syne"/>
          <w:b w:val="1"/>
          <w:color w:val="7e7c48"/>
          <w:rtl w:val="0"/>
        </w:rPr>
        <w:t xml:space="preserve">Secure an attorney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Appraise restaurants you are considering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Syne" w:cs="Syne" w:eastAsia="Syne" w:hAnsi="Syne"/>
          <w:b w:val="1"/>
          <w:color w:val="7e7c48"/>
        </w:rPr>
      </w:pPr>
      <w:r w:rsidDel="00000000" w:rsidR="00000000" w:rsidRPr="00000000">
        <w:rPr>
          <w:rFonts w:ascii="Syne" w:cs="Syne" w:eastAsia="Syne" w:hAnsi="Syne"/>
          <w:b w:val="1"/>
          <w:color w:val="7e7c48"/>
          <w:rtl w:val="0"/>
        </w:rPr>
        <w:t xml:space="preserve">Get Funding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Assess available personal funds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Apply for Small Business Loans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Seek investors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Have the attorney create investor agreement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Syne" w:cs="Syne" w:eastAsia="Syne" w:hAnsi="Syne"/>
          <w:b w:val="1"/>
          <w:color w:val="7e7c48"/>
        </w:rPr>
      </w:pPr>
      <w:r w:rsidDel="00000000" w:rsidR="00000000" w:rsidRPr="00000000">
        <w:rPr>
          <w:rFonts w:ascii="Syne" w:cs="Syne" w:eastAsia="Syne" w:hAnsi="Syne"/>
          <w:b w:val="1"/>
          <w:color w:val="7e7c48"/>
          <w:rtl w:val="0"/>
        </w:rPr>
        <w:t xml:space="preserve">Negotiate with Seller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Clarify what is included in sale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Lease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Business identity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Branding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Equipment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Permits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Licenses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Insurance policies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Operational documents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Inventory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Attorney creates Letter of Intent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1440" w:hanging="360"/>
        <w:rPr>
          <w:rFonts w:ascii="Syne" w:cs="Syne" w:eastAsia="Syne" w:hAnsi="Syne"/>
          <w:b w:val="1"/>
          <w:color w:val="a3a6a8"/>
        </w:rPr>
      </w:pPr>
      <w:r w:rsidDel="00000000" w:rsidR="00000000" w:rsidRPr="00000000">
        <w:rPr>
          <w:rFonts w:ascii="Syne" w:cs="Syne" w:eastAsia="Syne" w:hAnsi="Syne"/>
          <w:b w:val="1"/>
          <w:color w:val="a3a6a8"/>
          <w:rtl w:val="0"/>
        </w:rPr>
        <w:t xml:space="preserve">Perform Due Diligence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Assess lease terms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Review financial statements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Review insurance policies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Review permits &amp; licenses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Review tax history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Look for patents and trademarks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Review personnel documents and salaries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Review vendor contracts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Ask about “grandfather” clauses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630" w:hanging="270"/>
        <w:rPr>
          <w:rFonts w:ascii="Syne" w:cs="Syne" w:eastAsia="Syne" w:hAnsi="Syne"/>
          <w:b w:val="1"/>
          <w:color w:val="7e7c48"/>
        </w:rPr>
      </w:pPr>
      <w:r w:rsidDel="00000000" w:rsidR="00000000" w:rsidRPr="00000000">
        <w:rPr>
          <w:rFonts w:ascii="Syne" w:cs="Syne" w:eastAsia="Syne" w:hAnsi="Syne"/>
          <w:b w:val="1"/>
          <w:color w:val="7e7c48"/>
          <w:rtl w:val="0"/>
        </w:rPr>
        <w:t xml:space="preserve">Complete Purchase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153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Set closing date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153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Schedule transition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153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Draft purchase agreement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1530" w:hanging="360"/>
        <w:rPr>
          <w:rFonts w:ascii="Syne" w:cs="Syne" w:eastAsia="Syne" w:hAnsi="Syne"/>
        </w:rPr>
      </w:pPr>
      <w:r w:rsidDel="00000000" w:rsidR="00000000" w:rsidRPr="00000000">
        <w:rPr>
          <w:rFonts w:ascii="Syne" w:cs="Syne" w:eastAsia="Syne" w:hAnsi="Syne"/>
          <w:rtl w:val="0"/>
        </w:rPr>
        <w:t xml:space="preserve">Sign purchase agreement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1530" w:hanging="360"/>
        <w:rPr>
          <w:rFonts w:ascii="Syne" w:cs="Syne" w:eastAsia="Syne" w:hAnsi="Syne"/>
          <w:b w:val="1"/>
          <w:color w:val="7e7c48"/>
        </w:rPr>
      </w:pPr>
      <w:r w:rsidDel="00000000" w:rsidR="00000000" w:rsidRPr="00000000">
        <w:rPr>
          <w:rFonts w:ascii="Syne" w:cs="Syne" w:eastAsia="Syne" w:hAnsi="Syne"/>
          <w:b w:val="1"/>
          <w:color w:val="7e7c48"/>
          <w:rtl w:val="0"/>
        </w:rPr>
        <w:t xml:space="preserve">Change the locks!</w:t>
      </w:r>
    </w:p>
    <w:sectPr>
      <w:type w:val="continuous"/>
      <w:pgSz w:h="15840" w:w="12240" w:orient="portrait"/>
      <w:pgMar w:bottom="990" w:top="1440" w:left="1440" w:right="1440" w:header="720" w:footer="720"/>
      <w:cols w:equalWidth="0" w:num="2">
        <w:col w:space="540" w:w="4410"/>
        <w:col w:space="0" w:w="441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Syne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Style w:val="Heading1"/>
      <w:ind w:hanging="1440"/>
      <w:jc w:val="center"/>
      <w:rPr>
        <w:rFonts w:ascii="Syne" w:cs="Syne" w:eastAsia="Syne" w:hAnsi="Syne"/>
      </w:rPr>
    </w:pPr>
    <w:bookmarkStart w:colFirst="0" w:colLast="0" w:name="_3hw0e9w4a394" w:id="0"/>
    <w:bookmarkEnd w:id="0"/>
    <w:r w:rsidDel="00000000" w:rsidR="00000000" w:rsidRPr="00000000">
      <w:rPr>
        <w:rFonts w:ascii="Syne" w:cs="Syne" w:eastAsia="Syne" w:hAnsi="Syne"/>
      </w:rPr>
      <mc:AlternateContent>
        <mc:Choice Requires="wpg">
          <w:drawing>
            <wp:inline distB="114300" distT="114300" distL="114300" distR="114300">
              <wp:extent cx="7877175" cy="1173401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77175" cy="1173401"/>
                        <a:chOff x="0" y="0"/>
                        <a:chExt cx="7797800" cy="11606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-169575" y="1125"/>
                          <a:ext cx="7962600" cy="1154700"/>
                        </a:xfrm>
                        <a:prstGeom prst="rect">
                          <a:avLst/>
                        </a:prstGeom>
                        <a:solidFill>
                          <a:srgbClr val="7E7C4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838625" y="278125"/>
                          <a:ext cx="4287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yne" w:cs="Syne" w:eastAsia="Syne" w:hAnsi="Syn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How to Buy a Restaurant Checklist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877175" cy="1173401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7175" cy="117340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yne-regular.ttf"/><Relationship Id="rId2" Type="http://schemas.openxmlformats.org/officeDocument/2006/relationships/font" Target="fonts/Syne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